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59B3" w:rsidRPr="00C759B3" w:rsidRDefault="00C759B3" w:rsidP="00C759B3">
      <w:pPr>
        <w:spacing w:line="480" w:lineRule="auto"/>
        <w:rPr>
          <w:rFonts w:ascii="Times New Roman" w:hAnsi="Times New Roman" w:cs="Times New Roman"/>
          <w:sz w:val="24"/>
          <w:szCs w:val="24"/>
        </w:rPr>
      </w:pPr>
    </w:p>
    <w:p w:rsidR="00C759B3" w:rsidRPr="00C759B3" w:rsidRDefault="00C759B3" w:rsidP="00C759B3">
      <w:pPr>
        <w:spacing w:line="480" w:lineRule="auto"/>
        <w:rPr>
          <w:rFonts w:ascii="Times New Roman" w:hAnsi="Times New Roman" w:cs="Times New Roman"/>
          <w:sz w:val="24"/>
          <w:szCs w:val="24"/>
        </w:rPr>
      </w:pPr>
    </w:p>
    <w:p w:rsidR="00C759B3" w:rsidRPr="00C759B3" w:rsidRDefault="00C759B3" w:rsidP="00C759B3">
      <w:pPr>
        <w:spacing w:line="480" w:lineRule="auto"/>
        <w:rPr>
          <w:rFonts w:ascii="Times New Roman" w:hAnsi="Times New Roman" w:cs="Times New Roman"/>
          <w:sz w:val="24"/>
          <w:szCs w:val="24"/>
        </w:rPr>
      </w:pPr>
    </w:p>
    <w:p w:rsidR="00C759B3" w:rsidRPr="00C759B3" w:rsidRDefault="00C759B3" w:rsidP="00C759B3">
      <w:pPr>
        <w:spacing w:line="480" w:lineRule="auto"/>
        <w:rPr>
          <w:rFonts w:ascii="Times New Roman" w:hAnsi="Times New Roman" w:cs="Times New Roman"/>
          <w:sz w:val="24"/>
          <w:szCs w:val="24"/>
        </w:rPr>
      </w:pPr>
    </w:p>
    <w:p w:rsidR="00C759B3" w:rsidRPr="00C759B3" w:rsidRDefault="00C759B3" w:rsidP="00C759B3">
      <w:pPr>
        <w:spacing w:line="480" w:lineRule="auto"/>
        <w:rPr>
          <w:rFonts w:ascii="Times New Roman" w:hAnsi="Times New Roman" w:cs="Times New Roman"/>
          <w:sz w:val="24"/>
          <w:szCs w:val="24"/>
        </w:rPr>
      </w:pPr>
    </w:p>
    <w:p w:rsidR="00C759B3" w:rsidRPr="00C759B3" w:rsidRDefault="00C759B3" w:rsidP="00C759B3">
      <w:pPr>
        <w:spacing w:line="480" w:lineRule="auto"/>
        <w:rPr>
          <w:rFonts w:ascii="Times New Roman" w:hAnsi="Times New Roman" w:cs="Times New Roman"/>
          <w:sz w:val="24"/>
          <w:szCs w:val="24"/>
        </w:rPr>
      </w:pPr>
    </w:p>
    <w:p w:rsidR="00C759B3" w:rsidRPr="00C759B3" w:rsidRDefault="00C759B3" w:rsidP="00C759B3">
      <w:pPr>
        <w:spacing w:line="480" w:lineRule="auto"/>
        <w:jc w:val="center"/>
        <w:rPr>
          <w:rFonts w:ascii="Times New Roman" w:hAnsi="Times New Roman" w:cs="Times New Roman"/>
          <w:sz w:val="24"/>
          <w:szCs w:val="24"/>
        </w:rPr>
      </w:pPr>
      <w:r w:rsidRPr="00C759B3">
        <w:rPr>
          <w:rFonts w:ascii="Times New Roman" w:hAnsi="Times New Roman" w:cs="Times New Roman"/>
          <w:sz w:val="24"/>
          <w:szCs w:val="24"/>
        </w:rPr>
        <w:t>Marketing Communication Strategy for Telecommunication Subscription</w:t>
      </w:r>
    </w:p>
    <w:p w:rsidR="00C759B3" w:rsidRPr="00C759B3" w:rsidRDefault="00C759B3" w:rsidP="00C759B3">
      <w:pPr>
        <w:spacing w:line="480" w:lineRule="auto"/>
        <w:jc w:val="center"/>
        <w:rPr>
          <w:rFonts w:ascii="Times New Roman" w:hAnsi="Times New Roman" w:cs="Times New Roman"/>
          <w:sz w:val="24"/>
          <w:szCs w:val="24"/>
        </w:rPr>
      </w:pPr>
      <w:r w:rsidRPr="00C759B3">
        <w:rPr>
          <w:rFonts w:ascii="Times New Roman" w:hAnsi="Times New Roman" w:cs="Times New Roman"/>
          <w:sz w:val="24"/>
          <w:szCs w:val="24"/>
        </w:rPr>
        <w:t>Name of Student</w:t>
      </w:r>
    </w:p>
    <w:p w:rsidR="00C759B3" w:rsidRPr="00C759B3" w:rsidRDefault="00C759B3" w:rsidP="00C759B3">
      <w:pPr>
        <w:spacing w:line="480" w:lineRule="auto"/>
        <w:jc w:val="center"/>
        <w:rPr>
          <w:rFonts w:ascii="Times New Roman" w:hAnsi="Times New Roman" w:cs="Times New Roman"/>
          <w:sz w:val="24"/>
          <w:szCs w:val="24"/>
        </w:rPr>
      </w:pPr>
      <w:r w:rsidRPr="00C759B3">
        <w:rPr>
          <w:rFonts w:ascii="Times New Roman" w:hAnsi="Times New Roman" w:cs="Times New Roman"/>
          <w:sz w:val="24"/>
          <w:szCs w:val="24"/>
        </w:rPr>
        <w:t>Name of Institution</w:t>
      </w:r>
    </w:p>
    <w:p w:rsidR="00C759B3" w:rsidRPr="00C759B3" w:rsidRDefault="00C759B3" w:rsidP="00C759B3">
      <w:pPr>
        <w:spacing w:line="480" w:lineRule="auto"/>
        <w:jc w:val="center"/>
        <w:rPr>
          <w:rFonts w:ascii="Times New Roman" w:hAnsi="Times New Roman" w:cs="Times New Roman"/>
          <w:sz w:val="24"/>
          <w:szCs w:val="24"/>
        </w:rPr>
      </w:pPr>
      <w:r w:rsidRPr="00C759B3">
        <w:rPr>
          <w:rFonts w:ascii="Times New Roman" w:hAnsi="Times New Roman" w:cs="Times New Roman"/>
          <w:sz w:val="24"/>
          <w:szCs w:val="24"/>
        </w:rPr>
        <w:t xml:space="preserve">Date  </w:t>
      </w:r>
      <w:r w:rsidRPr="00C759B3">
        <w:rPr>
          <w:rFonts w:ascii="Times New Roman" w:hAnsi="Times New Roman" w:cs="Times New Roman"/>
          <w:sz w:val="24"/>
          <w:szCs w:val="24"/>
        </w:rPr>
        <w:br w:type="page"/>
      </w:r>
    </w:p>
    <w:p w:rsidR="00877910" w:rsidRPr="00C759B3" w:rsidRDefault="00877910" w:rsidP="00C759B3">
      <w:pPr>
        <w:spacing w:line="480" w:lineRule="auto"/>
        <w:ind w:firstLine="720"/>
        <w:rPr>
          <w:rFonts w:ascii="Times New Roman" w:hAnsi="Times New Roman" w:cs="Times New Roman"/>
          <w:sz w:val="24"/>
          <w:szCs w:val="24"/>
        </w:rPr>
      </w:pPr>
      <w:r w:rsidRPr="00C759B3">
        <w:rPr>
          <w:rFonts w:ascii="Times New Roman" w:hAnsi="Times New Roman" w:cs="Times New Roman"/>
          <w:sz w:val="24"/>
          <w:szCs w:val="24"/>
        </w:rPr>
        <w:lastRenderedPageBreak/>
        <w:t xml:space="preserve">The organization in question is a telecommunications company. The service the organization intends to promote is prepaid subscription, mainly how to acquire more customers for the service. The strategy aims at recruiting more clients from the area into choosing the option of the organization's prepaid subscription plan, over any services offered by competitors. Within the resolve to be more successful in their advertising and marketing initiatives, the organization have partnered with SEK &amp; GREY due to their intent to respond to changing marketing situations with new ideas. Innovation is critical since, within the operator industry, images and the rapid, intuitive utilization of various methods are of paramount significance. </w:t>
      </w:r>
    </w:p>
    <w:p w:rsidR="00877910" w:rsidRPr="00C759B3" w:rsidRDefault="00877910" w:rsidP="00C759B3">
      <w:pPr>
        <w:spacing w:line="480" w:lineRule="auto"/>
        <w:jc w:val="center"/>
        <w:rPr>
          <w:rFonts w:ascii="Times New Roman" w:hAnsi="Times New Roman" w:cs="Times New Roman"/>
          <w:b/>
          <w:sz w:val="24"/>
          <w:szCs w:val="24"/>
        </w:rPr>
      </w:pPr>
      <w:r w:rsidRPr="00C759B3">
        <w:rPr>
          <w:rFonts w:ascii="Times New Roman" w:hAnsi="Times New Roman" w:cs="Times New Roman"/>
          <w:b/>
          <w:sz w:val="24"/>
          <w:szCs w:val="24"/>
        </w:rPr>
        <w:t>Assess segments of a marketing plan for a service.</w:t>
      </w:r>
    </w:p>
    <w:p w:rsidR="00877910" w:rsidRPr="00C759B3" w:rsidRDefault="00877910" w:rsidP="00C759B3">
      <w:pPr>
        <w:pStyle w:val="ListParagraph"/>
        <w:numPr>
          <w:ilvl w:val="0"/>
          <w:numId w:val="3"/>
        </w:numPr>
        <w:spacing w:line="480" w:lineRule="auto"/>
        <w:rPr>
          <w:rFonts w:ascii="Times New Roman" w:hAnsi="Times New Roman" w:cs="Times New Roman"/>
          <w:b/>
          <w:sz w:val="24"/>
          <w:szCs w:val="24"/>
        </w:rPr>
      </w:pPr>
      <w:r w:rsidRPr="00C759B3">
        <w:rPr>
          <w:rFonts w:ascii="Times New Roman" w:hAnsi="Times New Roman" w:cs="Times New Roman"/>
          <w:b/>
          <w:sz w:val="24"/>
          <w:szCs w:val="24"/>
        </w:rPr>
        <w:t>Target market</w:t>
      </w:r>
    </w:p>
    <w:p w:rsidR="00877910" w:rsidRPr="00C759B3" w:rsidRDefault="00877910" w:rsidP="00C759B3">
      <w:pPr>
        <w:spacing w:line="480" w:lineRule="auto"/>
        <w:ind w:firstLine="360"/>
        <w:rPr>
          <w:rFonts w:ascii="Times New Roman" w:hAnsi="Times New Roman" w:cs="Times New Roman"/>
          <w:sz w:val="24"/>
          <w:szCs w:val="24"/>
        </w:rPr>
      </w:pPr>
      <w:r w:rsidRPr="00C759B3">
        <w:rPr>
          <w:rFonts w:ascii="Times New Roman" w:hAnsi="Times New Roman" w:cs="Times New Roman"/>
          <w:sz w:val="24"/>
          <w:szCs w:val="24"/>
        </w:rPr>
        <w:t>The targeted customer base is the Russian population, and they place great value in services shaped to assimilate their language, particularly customer care. It is, therefore, fundamental to develop the campaign to take the form of the Russian language so that the population may feel important and welcomed. The language aspect can also be incorporated into the printing strategy for manuals and other materials, which will additionally gain more of the audience's attention and traction</w:t>
      </w:r>
      <w:r w:rsidR="00C759B3" w:rsidRPr="00C759B3">
        <w:rPr>
          <w:rFonts w:ascii="Times New Roman" w:hAnsi="Times New Roman" w:cs="Times New Roman"/>
          <w:sz w:val="24"/>
          <w:szCs w:val="24"/>
        </w:rPr>
        <w:t xml:space="preserve"> </w:t>
      </w:r>
      <w:sdt>
        <w:sdtPr>
          <w:rPr>
            <w:rFonts w:ascii="Times New Roman" w:hAnsi="Times New Roman" w:cs="Times New Roman"/>
            <w:sz w:val="24"/>
            <w:szCs w:val="24"/>
          </w:rPr>
          <w:id w:val="1208092677"/>
          <w:citation/>
        </w:sdtPr>
        <w:sdtContent>
          <w:r w:rsidR="00C759B3" w:rsidRPr="00C759B3">
            <w:rPr>
              <w:rFonts w:ascii="Times New Roman" w:hAnsi="Times New Roman" w:cs="Times New Roman"/>
              <w:sz w:val="24"/>
              <w:szCs w:val="24"/>
            </w:rPr>
            <w:fldChar w:fldCharType="begin"/>
          </w:r>
          <w:r w:rsidR="00C759B3" w:rsidRPr="00C759B3">
            <w:rPr>
              <w:rFonts w:ascii="Times New Roman" w:hAnsi="Times New Roman" w:cs="Times New Roman"/>
              <w:sz w:val="24"/>
              <w:szCs w:val="24"/>
            </w:rPr>
            <w:instrText xml:space="preserve"> CITATION Kot18 \l 1033 </w:instrText>
          </w:r>
          <w:r w:rsidR="00C759B3" w:rsidRPr="00C759B3">
            <w:rPr>
              <w:rFonts w:ascii="Times New Roman" w:hAnsi="Times New Roman" w:cs="Times New Roman"/>
              <w:sz w:val="24"/>
              <w:szCs w:val="24"/>
            </w:rPr>
            <w:fldChar w:fldCharType="separate"/>
          </w:r>
          <w:r w:rsidR="00C759B3" w:rsidRPr="00C759B3">
            <w:rPr>
              <w:rFonts w:ascii="Times New Roman" w:hAnsi="Times New Roman" w:cs="Times New Roman"/>
              <w:noProof/>
              <w:sz w:val="24"/>
              <w:szCs w:val="24"/>
            </w:rPr>
            <w:t>(Kotov, et al., 2018)</w:t>
          </w:r>
          <w:r w:rsidR="00C759B3" w:rsidRPr="00C759B3">
            <w:rPr>
              <w:rFonts w:ascii="Times New Roman" w:hAnsi="Times New Roman" w:cs="Times New Roman"/>
              <w:sz w:val="24"/>
              <w:szCs w:val="24"/>
            </w:rPr>
            <w:fldChar w:fldCharType="end"/>
          </w:r>
        </w:sdtContent>
      </w:sdt>
      <w:r w:rsidRPr="00C759B3">
        <w:rPr>
          <w:rFonts w:ascii="Times New Roman" w:hAnsi="Times New Roman" w:cs="Times New Roman"/>
          <w:sz w:val="24"/>
          <w:szCs w:val="24"/>
        </w:rPr>
        <w:t xml:space="preserve">. The target population is also perceived to be sarcastic and humoristic. Both aspects present a cautionary imperative for the campaign requiring care and delicacy. The elements for the Russians involve making fun of the upper-class members and the rich, but an intercultural form of marketing is best avoided. Patriotism in the nation is high, regarding their country a Mother Russia, and patriarchy decries for maintenance of the honor of the country. The binding and esteem behind patriotism emanate from perceiving the nation as one of high power and influence. Hence composition and recital of songs and poems present a </w:t>
      </w:r>
      <w:r w:rsidRPr="00C759B3">
        <w:rPr>
          <w:rFonts w:ascii="Times New Roman" w:hAnsi="Times New Roman" w:cs="Times New Roman"/>
          <w:sz w:val="24"/>
          <w:szCs w:val="24"/>
        </w:rPr>
        <w:lastRenderedPageBreak/>
        <w:t>channel of marking their country as holy and respectful. The population is akin to those that are sensitive, to the point that they study their souls. Sensitivity encompasses caring for both their and other people's feelings</w:t>
      </w:r>
      <w:r w:rsidR="00C759B3" w:rsidRPr="00C759B3">
        <w:rPr>
          <w:rFonts w:ascii="Times New Roman" w:hAnsi="Times New Roman" w:cs="Times New Roman"/>
          <w:sz w:val="24"/>
          <w:szCs w:val="24"/>
        </w:rPr>
        <w:t xml:space="preserve"> </w:t>
      </w:r>
      <w:sdt>
        <w:sdtPr>
          <w:rPr>
            <w:rFonts w:ascii="Times New Roman" w:hAnsi="Times New Roman" w:cs="Times New Roman"/>
            <w:sz w:val="24"/>
            <w:szCs w:val="24"/>
          </w:rPr>
          <w:id w:val="1208092678"/>
          <w:citation/>
        </w:sdtPr>
        <w:sdtContent>
          <w:r w:rsidR="00C759B3" w:rsidRPr="00C759B3">
            <w:rPr>
              <w:rFonts w:ascii="Times New Roman" w:hAnsi="Times New Roman" w:cs="Times New Roman"/>
              <w:sz w:val="24"/>
              <w:szCs w:val="24"/>
            </w:rPr>
            <w:fldChar w:fldCharType="begin"/>
          </w:r>
          <w:r w:rsidR="00C759B3" w:rsidRPr="00C759B3">
            <w:rPr>
              <w:rFonts w:ascii="Times New Roman" w:hAnsi="Times New Roman" w:cs="Times New Roman"/>
              <w:sz w:val="24"/>
              <w:szCs w:val="24"/>
            </w:rPr>
            <w:instrText xml:space="preserve"> CITATION Kot18 \l 1033 </w:instrText>
          </w:r>
          <w:r w:rsidR="00C759B3" w:rsidRPr="00C759B3">
            <w:rPr>
              <w:rFonts w:ascii="Times New Roman" w:hAnsi="Times New Roman" w:cs="Times New Roman"/>
              <w:sz w:val="24"/>
              <w:szCs w:val="24"/>
            </w:rPr>
            <w:fldChar w:fldCharType="separate"/>
          </w:r>
          <w:r w:rsidR="00C759B3" w:rsidRPr="00C759B3">
            <w:rPr>
              <w:rFonts w:ascii="Times New Roman" w:hAnsi="Times New Roman" w:cs="Times New Roman"/>
              <w:noProof/>
              <w:sz w:val="24"/>
              <w:szCs w:val="24"/>
            </w:rPr>
            <w:t>(Kotov, et al., 2018)</w:t>
          </w:r>
          <w:r w:rsidR="00C759B3" w:rsidRPr="00C759B3">
            <w:rPr>
              <w:rFonts w:ascii="Times New Roman" w:hAnsi="Times New Roman" w:cs="Times New Roman"/>
              <w:sz w:val="24"/>
              <w:szCs w:val="24"/>
            </w:rPr>
            <w:fldChar w:fldCharType="end"/>
          </w:r>
        </w:sdtContent>
      </w:sdt>
      <w:r w:rsidRPr="00C759B3">
        <w:rPr>
          <w:rFonts w:ascii="Times New Roman" w:hAnsi="Times New Roman" w:cs="Times New Roman"/>
          <w:sz w:val="24"/>
          <w:szCs w:val="24"/>
        </w:rPr>
        <w:t>. It is paramount to observe and communicate through body languages. The speech of the nationals is loud, which gets higher under excitement. Use of sign gestures and facial expressions is standard, as a means of passing messages of their ideas and emotions.</w:t>
      </w:r>
    </w:p>
    <w:p w:rsidR="00877910" w:rsidRPr="00C759B3" w:rsidRDefault="00877910" w:rsidP="00C759B3">
      <w:pPr>
        <w:pStyle w:val="ListParagraph"/>
        <w:numPr>
          <w:ilvl w:val="0"/>
          <w:numId w:val="3"/>
        </w:numPr>
        <w:spacing w:line="480" w:lineRule="auto"/>
        <w:rPr>
          <w:rFonts w:ascii="Times New Roman" w:hAnsi="Times New Roman" w:cs="Times New Roman"/>
          <w:b/>
          <w:sz w:val="24"/>
          <w:szCs w:val="24"/>
        </w:rPr>
      </w:pPr>
      <w:r w:rsidRPr="00C759B3">
        <w:rPr>
          <w:rFonts w:ascii="Times New Roman" w:hAnsi="Times New Roman" w:cs="Times New Roman"/>
          <w:b/>
          <w:sz w:val="24"/>
          <w:szCs w:val="24"/>
        </w:rPr>
        <w:t>Appeals used in the strategy</w:t>
      </w:r>
    </w:p>
    <w:p w:rsidR="00877910" w:rsidRPr="00C759B3" w:rsidRDefault="00877910" w:rsidP="00C759B3">
      <w:pPr>
        <w:spacing w:line="480" w:lineRule="auto"/>
        <w:ind w:firstLine="360"/>
        <w:rPr>
          <w:rFonts w:ascii="Times New Roman" w:hAnsi="Times New Roman" w:cs="Times New Roman"/>
          <w:sz w:val="24"/>
          <w:szCs w:val="24"/>
        </w:rPr>
      </w:pPr>
      <w:r w:rsidRPr="00C759B3">
        <w:rPr>
          <w:rFonts w:ascii="Times New Roman" w:hAnsi="Times New Roman" w:cs="Times New Roman"/>
          <w:sz w:val="24"/>
          <w:szCs w:val="24"/>
        </w:rPr>
        <w:t xml:space="preserve">Significant detail to the Russian cultural contexts involved humor on a general level, universal and eternal jokes, and the use of proverbs throughout the campaign. Though popular adverts have depicted their target population either funny or silly, it was unwise in this context since they are perceived as quite patriarchal. Since the organization has set up shop in other countries, including them in the campaign structures an aura of foreign culture and its people. The aspect highly appreciated by the locals. Given the preference of the target population for their language, the organization has reshaped its website to allow the Russian language. The strategy also includes numerous hyperlinks through other applications for the site, all of them in Russian. All products and campaigns for the organization meet all the regulations and laws that concern local and international sales. It is also necessary to generate procedures that align with the law since the population is highly patriotic, and thus, bad blood may chase probable and committed clients. The campaign has also taken the initiative to develop several customer care centers for the clientele. The target population is fond of personal interaction, and it is necessary to please their egos to make them feel important. </w:t>
      </w:r>
    </w:p>
    <w:p w:rsidR="00877910" w:rsidRPr="00C759B3" w:rsidRDefault="00877910" w:rsidP="00C759B3">
      <w:pPr>
        <w:pStyle w:val="ListParagraph"/>
        <w:numPr>
          <w:ilvl w:val="0"/>
          <w:numId w:val="3"/>
        </w:numPr>
        <w:spacing w:line="480" w:lineRule="auto"/>
        <w:rPr>
          <w:rFonts w:ascii="Times New Roman" w:hAnsi="Times New Roman" w:cs="Times New Roman"/>
          <w:b/>
          <w:sz w:val="24"/>
          <w:szCs w:val="24"/>
        </w:rPr>
      </w:pPr>
      <w:r w:rsidRPr="00C759B3">
        <w:rPr>
          <w:rFonts w:ascii="Times New Roman" w:hAnsi="Times New Roman" w:cs="Times New Roman"/>
          <w:b/>
          <w:sz w:val="24"/>
          <w:szCs w:val="24"/>
        </w:rPr>
        <w:t>Product, price and distribution strategies</w:t>
      </w:r>
    </w:p>
    <w:p w:rsidR="00877910" w:rsidRPr="00C759B3" w:rsidRDefault="00877910" w:rsidP="00C759B3">
      <w:pPr>
        <w:pStyle w:val="ListParagraph"/>
        <w:numPr>
          <w:ilvl w:val="0"/>
          <w:numId w:val="4"/>
        </w:numPr>
        <w:spacing w:line="480" w:lineRule="auto"/>
        <w:rPr>
          <w:rFonts w:ascii="Times New Roman" w:hAnsi="Times New Roman" w:cs="Times New Roman"/>
          <w:sz w:val="24"/>
          <w:szCs w:val="24"/>
        </w:rPr>
      </w:pPr>
      <w:r w:rsidRPr="00C759B3">
        <w:rPr>
          <w:rFonts w:ascii="Times New Roman" w:hAnsi="Times New Roman" w:cs="Times New Roman"/>
          <w:sz w:val="24"/>
          <w:szCs w:val="24"/>
        </w:rPr>
        <w:lastRenderedPageBreak/>
        <w:t>Products</w:t>
      </w:r>
    </w:p>
    <w:p w:rsidR="00877910" w:rsidRPr="00C759B3" w:rsidRDefault="00877910" w:rsidP="00C759B3">
      <w:pPr>
        <w:spacing w:line="480" w:lineRule="auto"/>
        <w:ind w:firstLine="720"/>
        <w:rPr>
          <w:rFonts w:ascii="Times New Roman" w:hAnsi="Times New Roman" w:cs="Times New Roman"/>
          <w:sz w:val="24"/>
          <w:szCs w:val="24"/>
        </w:rPr>
      </w:pPr>
      <w:r w:rsidRPr="00C759B3">
        <w:rPr>
          <w:rFonts w:ascii="Times New Roman" w:hAnsi="Times New Roman" w:cs="Times New Roman"/>
          <w:sz w:val="24"/>
          <w:szCs w:val="24"/>
        </w:rPr>
        <w:t xml:space="preserve">The prepaid package involves purchasing call time in advance, and the client gets to use calls for up to the value of the credit purchased. In contrast to the postpaid package which necessitates an invoice of fees within a specified period. The organization has two packages within the prepaid option; BNE Prepaid and BNE Arvo. The latter option is similar to postpaid with the minute-priced-subscription, but neither the creditworthiness nor the credit history of the client is subject to inspection. It is particularly meant for subscribers in need of low-cost starting package with minimal additional pay for a usage fee. The charge of the calls for the calls is on a second basis. The BNE Prepaid service is based on pulses, with the frequency as a determinant of the average minute price. The first pulse is the first minute of the call, while consequent pulses account for 30 seconds. Both packages are available in the country and 80 more nations. The campaign is directed at the Russian nationals. </w:t>
      </w:r>
    </w:p>
    <w:p w:rsidR="00877910" w:rsidRPr="00C759B3" w:rsidRDefault="00877910" w:rsidP="00C759B3">
      <w:pPr>
        <w:pStyle w:val="ListParagraph"/>
        <w:numPr>
          <w:ilvl w:val="0"/>
          <w:numId w:val="4"/>
        </w:numPr>
        <w:spacing w:line="480" w:lineRule="auto"/>
        <w:rPr>
          <w:rFonts w:ascii="Times New Roman" w:hAnsi="Times New Roman" w:cs="Times New Roman"/>
          <w:sz w:val="24"/>
          <w:szCs w:val="24"/>
        </w:rPr>
      </w:pPr>
      <w:r w:rsidRPr="00C759B3">
        <w:rPr>
          <w:rFonts w:ascii="Times New Roman" w:hAnsi="Times New Roman" w:cs="Times New Roman"/>
          <w:sz w:val="24"/>
          <w:szCs w:val="24"/>
        </w:rPr>
        <w:t>Price</w:t>
      </w:r>
    </w:p>
    <w:p w:rsidR="00877910" w:rsidRPr="00C759B3" w:rsidRDefault="00877910" w:rsidP="00C759B3">
      <w:pPr>
        <w:spacing w:line="480" w:lineRule="auto"/>
        <w:ind w:firstLine="720"/>
        <w:rPr>
          <w:rFonts w:ascii="Times New Roman" w:hAnsi="Times New Roman" w:cs="Times New Roman"/>
          <w:sz w:val="24"/>
          <w:szCs w:val="24"/>
        </w:rPr>
      </w:pPr>
      <w:r w:rsidRPr="00C759B3">
        <w:rPr>
          <w:rFonts w:ascii="Times New Roman" w:hAnsi="Times New Roman" w:cs="Times New Roman"/>
          <w:sz w:val="24"/>
          <w:szCs w:val="24"/>
        </w:rPr>
        <w:t xml:space="preserve">Cost considerations included an absolute and relative cost. The former refers to the time and expenses, while the latter identifies costs incurred while contacting each member of the target audience. The mobile subscriptions for Russia for the Prepaid package for phone calls are 0.72 Euros per minute and 0.51 per minute for fixed-line calls. The Arvo service incurs phone call charges 0.629 Euros per minute, and a fixed-line cost of 0.419 Euros per minute. The starting package for the services is 17 Euros with ten of it worth of call time and 10 Euros with same amount inclusive for call time for Prepaid and Arvo packages respectively. </w:t>
      </w:r>
      <w:r w:rsidR="00C4230E" w:rsidRPr="00C759B3">
        <w:rPr>
          <w:rFonts w:ascii="Times New Roman" w:hAnsi="Times New Roman" w:cs="Times New Roman"/>
          <w:sz w:val="24"/>
          <w:szCs w:val="24"/>
        </w:rPr>
        <w:t xml:space="preserve">The range of pricing techniques used in the strategy maintain a moderately low budget but sustainable for the organization </w:t>
      </w:r>
      <w:sdt>
        <w:sdtPr>
          <w:rPr>
            <w:rFonts w:ascii="Times New Roman" w:hAnsi="Times New Roman" w:cs="Times New Roman"/>
            <w:sz w:val="24"/>
            <w:szCs w:val="24"/>
          </w:rPr>
          <w:id w:val="1208092676"/>
          <w:citation/>
        </w:sdtPr>
        <w:sdtContent>
          <w:r w:rsidR="00C759B3" w:rsidRPr="00C759B3">
            <w:rPr>
              <w:rFonts w:ascii="Times New Roman" w:hAnsi="Times New Roman" w:cs="Times New Roman"/>
              <w:sz w:val="24"/>
              <w:szCs w:val="24"/>
            </w:rPr>
            <w:fldChar w:fldCharType="begin"/>
          </w:r>
          <w:r w:rsidR="00C759B3" w:rsidRPr="00C759B3">
            <w:rPr>
              <w:rFonts w:ascii="Times New Roman" w:hAnsi="Times New Roman" w:cs="Times New Roman"/>
              <w:sz w:val="24"/>
              <w:szCs w:val="24"/>
            </w:rPr>
            <w:instrText xml:space="preserve"> CITATION Sin12 \l 1033 </w:instrText>
          </w:r>
          <w:r w:rsidR="00C759B3" w:rsidRPr="00C759B3">
            <w:rPr>
              <w:rFonts w:ascii="Times New Roman" w:hAnsi="Times New Roman" w:cs="Times New Roman"/>
              <w:sz w:val="24"/>
              <w:szCs w:val="24"/>
            </w:rPr>
            <w:fldChar w:fldCharType="separate"/>
          </w:r>
          <w:r w:rsidR="00C759B3" w:rsidRPr="00C759B3">
            <w:rPr>
              <w:rFonts w:ascii="Times New Roman" w:hAnsi="Times New Roman" w:cs="Times New Roman"/>
              <w:noProof/>
              <w:sz w:val="24"/>
              <w:szCs w:val="24"/>
            </w:rPr>
            <w:t>(Singh, 2012)</w:t>
          </w:r>
          <w:r w:rsidR="00C759B3" w:rsidRPr="00C759B3">
            <w:rPr>
              <w:rFonts w:ascii="Times New Roman" w:hAnsi="Times New Roman" w:cs="Times New Roman"/>
              <w:sz w:val="24"/>
              <w:szCs w:val="24"/>
            </w:rPr>
            <w:fldChar w:fldCharType="end"/>
          </w:r>
        </w:sdtContent>
      </w:sdt>
      <w:r w:rsidR="00C4230E" w:rsidRPr="00C759B3">
        <w:rPr>
          <w:rFonts w:ascii="Times New Roman" w:hAnsi="Times New Roman" w:cs="Times New Roman"/>
          <w:sz w:val="24"/>
          <w:szCs w:val="24"/>
        </w:rPr>
        <w:t xml:space="preserve">. </w:t>
      </w:r>
    </w:p>
    <w:p w:rsidR="00877910" w:rsidRPr="00C759B3" w:rsidRDefault="00877910" w:rsidP="00C759B3">
      <w:pPr>
        <w:spacing w:line="480" w:lineRule="auto"/>
        <w:ind w:firstLine="720"/>
        <w:rPr>
          <w:rFonts w:ascii="Times New Roman" w:hAnsi="Times New Roman" w:cs="Times New Roman"/>
          <w:sz w:val="24"/>
          <w:szCs w:val="24"/>
        </w:rPr>
      </w:pPr>
      <w:r w:rsidRPr="00C759B3">
        <w:rPr>
          <w:rFonts w:ascii="Times New Roman" w:hAnsi="Times New Roman" w:cs="Times New Roman"/>
          <w:sz w:val="24"/>
          <w:szCs w:val="24"/>
        </w:rPr>
        <w:lastRenderedPageBreak/>
        <w:t xml:space="preserve">After analyzing the five prime competitors for the organization, the cheapest option for the clients is GoMobile services that offer a starting package of 4.90 Euros, with a call time of 5 Euros. The company charges 0.498 Euros for phone calls and 0.248 Euros for calling fixed lines. The most expensive option for starting package with consideration for call time is Five-plus charging 20.00 /15.00 respectively. The organization charges 0.25 Euros for both categories of phone calls and fixed lines. The last option proves quite expensive in its charges for phone calls and fixed lines with costs of 0.850 and 0.630 Euros respectively. The last organization is Sonera and has a starting package of 17.00 Euros with consideration for call time worth 11.00 Euros. </w:t>
      </w:r>
    </w:p>
    <w:p w:rsidR="00877910" w:rsidRPr="00C759B3" w:rsidRDefault="00877910" w:rsidP="00C759B3">
      <w:pPr>
        <w:pStyle w:val="ListParagraph"/>
        <w:numPr>
          <w:ilvl w:val="0"/>
          <w:numId w:val="4"/>
        </w:numPr>
        <w:spacing w:line="480" w:lineRule="auto"/>
        <w:rPr>
          <w:rFonts w:ascii="Times New Roman" w:hAnsi="Times New Roman" w:cs="Times New Roman"/>
          <w:sz w:val="24"/>
          <w:szCs w:val="24"/>
        </w:rPr>
      </w:pPr>
      <w:r w:rsidRPr="00C759B3">
        <w:rPr>
          <w:rFonts w:ascii="Times New Roman" w:hAnsi="Times New Roman" w:cs="Times New Roman"/>
          <w:sz w:val="24"/>
          <w:szCs w:val="24"/>
        </w:rPr>
        <w:t>Distribution strategies</w:t>
      </w:r>
    </w:p>
    <w:p w:rsidR="00877910" w:rsidRPr="00C759B3" w:rsidRDefault="00877910" w:rsidP="00C759B3">
      <w:pPr>
        <w:spacing w:line="480" w:lineRule="auto"/>
        <w:ind w:firstLine="720"/>
        <w:rPr>
          <w:rFonts w:ascii="Times New Roman" w:hAnsi="Times New Roman" w:cs="Times New Roman"/>
          <w:sz w:val="24"/>
          <w:szCs w:val="24"/>
        </w:rPr>
      </w:pPr>
      <w:r w:rsidRPr="00C759B3">
        <w:rPr>
          <w:rFonts w:ascii="Times New Roman" w:hAnsi="Times New Roman" w:cs="Times New Roman"/>
          <w:sz w:val="24"/>
          <w:szCs w:val="24"/>
        </w:rPr>
        <w:t>Use of the internet as a medium will necessitate the recruitment of external consulting help, who deal with the programming aspect of the company to a website. The platform must be easy to use, and the use of magenta will gain tract on the population. The link to the website will be attached to all subsequent marketing channels. Direct print advertising initiative for the organization employed the use of magazines and journals. Humor within the design and magenta color appealed to the context of the population, with funny short tales to capture their attention</w:t>
      </w:r>
      <w:r w:rsidR="00C4230E" w:rsidRPr="00C759B3">
        <w:rPr>
          <w:rFonts w:ascii="Times New Roman" w:hAnsi="Times New Roman" w:cs="Times New Roman"/>
          <w:sz w:val="24"/>
          <w:szCs w:val="24"/>
        </w:rPr>
        <w:t xml:space="preserve"> </w:t>
      </w:r>
      <w:sdt>
        <w:sdtPr>
          <w:rPr>
            <w:rFonts w:ascii="Times New Roman" w:hAnsi="Times New Roman" w:cs="Times New Roman"/>
            <w:sz w:val="24"/>
            <w:szCs w:val="24"/>
          </w:rPr>
          <w:id w:val="1208092675"/>
          <w:citation/>
        </w:sdtPr>
        <w:sdtContent>
          <w:r w:rsidR="00C4230E" w:rsidRPr="00C759B3">
            <w:rPr>
              <w:rFonts w:ascii="Times New Roman" w:hAnsi="Times New Roman" w:cs="Times New Roman"/>
              <w:sz w:val="24"/>
              <w:szCs w:val="24"/>
            </w:rPr>
            <w:fldChar w:fldCharType="begin"/>
          </w:r>
          <w:r w:rsidR="00C4230E" w:rsidRPr="00C759B3">
            <w:rPr>
              <w:rFonts w:ascii="Times New Roman" w:hAnsi="Times New Roman" w:cs="Times New Roman"/>
              <w:sz w:val="24"/>
              <w:szCs w:val="24"/>
            </w:rPr>
            <w:instrText xml:space="preserve"> CITATION Hin11 \l 1033 </w:instrText>
          </w:r>
          <w:r w:rsidR="00C4230E" w:rsidRPr="00C759B3">
            <w:rPr>
              <w:rFonts w:ascii="Times New Roman" w:hAnsi="Times New Roman" w:cs="Times New Roman"/>
              <w:sz w:val="24"/>
              <w:szCs w:val="24"/>
            </w:rPr>
            <w:fldChar w:fldCharType="separate"/>
          </w:r>
          <w:r w:rsidR="00C4230E" w:rsidRPr="00C759B3">
            <w:rPr>
              <w:rFonts w:ascii="Times New Roman" w:hAnsi="Times New Roman" w:cs="Times New Roman"/>
              <w:noProof/>
              <w:sz w:val="24"/>
              <w:szCs w:val="24"/>
            </w:rPr>
            <w:t>(Hines, Henley, Raffin, &amp; Caemmerer, 2011)</w:t>
          </w:r>
          <w:r w:rsidR="00C4230E" w:rsidRPr="00C759B3">
            <w:rPr>
              <w:rFonts w:ascii="Times New Roman" w:hAnsi="Times New Roman" w:cs="Times New Roman"/>
              <w:sz w:val="24"/>
              <w:szCs w:val="24"/>
            </w:rPr>
            <w:fldChar w:fldCharType="end"/>
          </w:r>
        </w:sdtContent>
      </w:sdt>
      <w:r w:rsidRPr="00C759B3">
        <w:rPr>
          <w:rFonts w:ascii="Times New Roman" w:hAnsi="Times New Roman" w:cs="Times New Roman"/>
          <w:sz w:val="24"/>
          <w:szCs w:val="24"/>
        </w:rPr>
        <w:t xml:space="preserve">. The medium is passed along after use and hence stays alive for a long time. Since the costs associated with print are high, the strategy is strategy advertizing them during a holiday period or along with sport, cultural, or other tourist-attractive events within the nation. The plan and design behind radio advertizing are to be short but attractive, scheduled prior to starting of different sports or cultural events. </w:t>
      </w:r>
    </w:p>
    <w:p w:rsidR="00877910" w:rsidRPr="00C759B3" w:rsidRDefault="00877910" w:rsidP="00C759B3">
      <w:pPr>
        <w:spacing w:line="480" w:lineRule="auto"/>
        <w:ind w:firstLine="720"/>
        <w:rPr>
          <w:rFonts w:ascii="Times New Roman" w:hAnsi="Times New Roman" w:cs="Times New Roman"/>
          <w:sz w:val="24"/>
          <w:szCs w:val="24"/>
        </w:rPr>
      </w:pPr>
      <w:r w:rsidRPr="00C759B3">
        <w:rPr>
          <w:rFonts w:ascii="Times New Roman" w:hAnsi="Times New Roman" w:cs="Times New Roman"/>
          <w:sz w:val="24"/>
          <w:szCs w:val="24"/>
        </w:rPr>
        <w:t xml:space="preserve">Customer care centers are critical components for achieving both directives with ease. Picking of locations for such centers evaluated the significant towns within the country with a </w:t>
      </w:r>
      <w:r w:rsidRPr="00C759B3">
        <w:rPr>
          <w:rFonts w:ascii="Times New Roman" w:hAnsi="Times New Roman" w:cs="Times New Roman"/>
          <w:sz w:val="24"/>
          <w:szCs w:val="24"/>
        </w:rPr>
        <w:lastRenderedPageBreak/>
        <w:t>high population. The customer care centers recruited a high number of native speaking attendants to deal with the language preference of the nationals. The campaign also involves outdoor branding by using billboard in all cities, major or minor. The strategy, however, is a backup supporting channel selected as primary media. It is cheap to consider advertizing on the roof or sides of public transportation. Other considerations include hallways of airports or walkways of the major subway and railway routes. Reinforcement of billboards strategy takes the form of sales promotions. The packages are available for sale in all stores where shopping is perceived high.</w:t>
      </w:r>
    </w:p>
    <w:p w:rsidR="00877910" w:rsidRPr="00C759B3" w:rsidRDefault="00877910" w:rsidP="00C759B3">
      <w:pPr>
        <w:spacing w:line="480" w:lineRule="auto"/>
        <w:jc w:val="center"/>
        <w:rPr>
          <w:rFonts w:ascii="Times New Roman" w:hAnsi="Times New Roman" w:cs="Times New Roman"/>
          <w:b/>
          <w:sz w:val="24"/>
          <w:szCs w:val="24"/>
        </w:rPr>
      </w:pPr>
      <w:r w:rsidRPr="00C759B3">
        <w:rPr>
          <w:rFonts w:ascii="Times New Roman" w:hAnsi="Times New Roman" w:cs="Times New Roman"/>
          <w:b/>
          <w:sz w:val="24"/>
          <w:szCs w:val="24"/>
        </w:rPr>
        <w:t>Compare how creating a marketing plan for service is different from how you might create an idea for a tangible product.</w:t>
      </w:r>
    </w:p>
    <w:p w:rsidR="00877910" w:rsidRPr="00C759B3" w:rsidRDefault="00877910" w:rsidP="00C759B3">
      <w:pPr>
        <w:spacing w:line="480" w:lineRule="auto"/>
        <w:ind w:firstLine="720"/>
        <w:rPr>
          <w:rFonts w:ascii="Times New Roman" w:hAnsi="Times New Roman" w:cs="Times New Roman"/>
          <w:sz w:val="24"/>
          <w:szCs w:val="24"/>
        </w:rPr>
      </w:pPr>
      <w:r w:rsidRPr="00C759B3">
        <w:rPr>
          <w:rFonts w:ascii="Times New Roman" w:hAnsi="Times New Roman" w:cs="Times New Roman"/>
          <w:sz w:val="24"/>
          <w:szCs w:val="24"/>
        </w:rPr>
        <w:t>The most significant difference between the two emanates from the aspect of tangibility. Since the product is tangible, the design of the marketing communication strategy intends to assimilate an essential need or want for the population and drives the campaign towards fulfilling it. However, the main issue for a service campaign is the creation of a beneficial relationship with the customers and winning their trust. Another difference is that the marketing for a product can assimilate a variety of shapes, sizes, colors, styles, and models</w:t>
      </w:r>
      <w:r w:rsidR="00C4230E" w:rsidRPr="00C759B3">
        <w:rPr>
          <w:rFonts w:ascii="Times New Roman" w:hAnsi="Times New Roman" w:cs="Times New Roman"/>
          <w:sz w:val="24"/>
          <w:szCs w:val="24"/>
        </w:rPr>
        <w:t xml:space="preserve"> </w:t>
      </w:r>
      <w:sdt>
        <w:sdtPr>
          <w:rPr>
            <w:rFonts w:ascii="Times New Roman" w:hAnsi="Times New Roman" w:cs="Times New Roman"/>
            <w:sz w:val="24"/>
            <w:szCs w:val="24"/>
          </w:rPr>
          <w:id w:val="1208092674"/>
          <w:citation/>
        </w:sdtPr>
        <w:sdtContent>
          <w:r w:rsidR="00C4230E" w:rsidRPr="00C759B3">
            <w:rPr>
              <w:rFonts w:ascii="Times New Roman" w:hAnsi="Times New Roman" w:cs="Times New Roman"/>
              <w:sz w:val="24"/>
              <w:szCs w:val="24"/>
            </w:rPr>
            <w:fldChar w:fldCharType="begin"/>
          </w:r>
          <w:r w:rsidR="00C4230E" w:rsidRPr="00C759B3">
            <w:rPr>
              <w:rFonts w:ascii="Times New Roman" w:hAnsi="Times New Roman" w:cs="Times New Roman"/>
              <w:sz w:val="24"/>
              <w:szCs w:val="24"/>
            </w:rPr>
            <w:instrText xml:space="preserve"> CITATION Vas12 \l 1033 </w:instrText>
          </w:r>
          <w:r w:rsidR="00C4230E" w:rsidRPr="00C759B3">
            <w:rPr>
              <w:rFonts w:ascii="Times New Roman" w:hAnsi="Times New Roman" w:cs="Times New Roman"/>
              <w:sz w:val="24"/>
              <w:szCs w:val="24"/>
            </w:rPr>
            <w:fldChar w:fldCharType="separate"/>
          </w:r>
          <w:r w:rsidR="00C4230E" w:rsidRPr="00C759B3">
            <w:rPr>
              <w:rFonts w:ascii="Times New Roman" w:hAnsi="Times New Roman" w:cs="Times New Roman"/>
              <w:noProof/>
              <w:sz w:val="24"/>
              <w:szCs w:val="24"/>
            </w:rPr>
            <w:t>(Vasantha, Roy, Lelah, &amp; Brissaud, 2012)</w:t>
          </w:r>
          <w:r w:rsidR="00C4230E" w:rsidRPr="00C759B3">
            <w:rPr>
              <w:rFonts w:ascii="Times New Roman" w:hAnsi="Times New Roman" w:cs="Times New Roman"/>
              <w:sz w:val="24"/>
              <w:szCs w:val="24"/>
            </w:rPr>
            <w:fldChar w:fldCharType="end"/>
          </w:r>
        </w:sdtContent>
      </w:sdt>
      <w:r w:rsidRPr="00C759B3">
        <w:rPr>
          <w:rFonts w:ascii="Times New Roman" w:hAnsi="Times New Roman" w:cs="Times New Roman"/>
          <w:sz w:val="24"/>
          <w:szCs w:val="24"/>
        </w:rPr>
        <w:t xml:space="preserve">. A combination of the several elements makes the campaign a vast one. However, diversity within the marketing communication strategy for products is problematic, since more often or not, and services do not offer multiple formulations. The procedure involved for products can be brought into question for quality since the evaluation of the same aspect is possible. Wrongful information about the quality of a product may necessarily lead to loss of consumers or returned goods (expiration is a possibility). However, the marketing </w:t>
      </w:r>
      <w:r w:rsidRPr="00C759B3">
        <w:rPr>
          <w:rFonts w:ascii="Times New Roman" w:hAnsi="Times New Roman" w:cs="Times New Roman"/>
          <w:sz w:val="24"/>
          <w:szCs w:val="24"/>
        </w:rPr>
        <w:lastRenderedPageBreak/>
        <w:t xml:space="preserve">communication plan for services needs to inspire customers more since a comparison of the same is harder hence higher retention of consumers with no expiration policy. </w:t>
      </w:r>
    </w:p>
    <w:p w:rsidR="00877910" w:rsidRPr="00C759B3" w:rsidRDefault="00877910" w:rsidP="00C759B3">
      <w:pPr>
        <w:spacing w:line="480" w:lineRule="auto"/>
        <w:ind w:firstLine="720"/>
        <w:rPr>
          <w:rFonts w:ascii="Times New Roman" w:hAnsi="Times New Roman" w:cs="Times New Roman"/>
          <w:sz w:val="24"/>
          <w:szCs w:val="24"/>
        </w:rPr>
      </w:pPr>
      <w:r w:rsidRPr="00C759B3">
        <w:rPr>
          <w:rFonts w:ascii="Times New Roman" w:hAnsi="Times New Roman" w:cs="Times New Roman"/>
          <w:sz w:val="24"/>
          <w:szCs w:val="24"/>
        </w:rPr>
        <w:t>The ownership aspect of the product or service shapes the direction of the campaign. The product's owner is the manufacturer, but this changes hands upon buying it. Therefore the campaign is built towards showing the value of the product to the consumer. The owner of the service is still the provider even after purchasing by the consumer</w:t>
      </w:r>
      <w:r w:rsidR="00C4230E" w:rsidRPr="00C759B3">
        <w:rPr>
          <w:rFonts w:ascii="Times New Roman" w:hAnsi="Times New Roman" w:cs="Times New Roman"/>
          <w:sz w:val="24"/>
          <w:szCs w:val="24"/>
        </w:rPr>
        <w:t xml:space="preserve"> </w:t>
      </w:r>
      <w:sdt>
        <w:sdtPr>
          <w:rPr>
            <w:rFonts w:ascii="Times New Roman" w:hAnsi="Times New Roman" w:cs="Times New Roman"/>
            <w:sz w:val="24"/>
            <w:szCs w:val="24"/>
          </w:rPr>
          <w:id w:val="1208092673"/>
          <w:citation/>
        </w:sdtPr>
        <w:sdtContent>
          <w:r w:rsidR="00C4230E" w:rsidRPr="00C759B3">
            <w:rPr>
              <w:rFonts w:ascii="Times New Roman" w:hAnsi="Times New Roman" w:cs="Times New Roman"/>
              <w:sz w:val="24"/>
              <w:szCs w:val="24"/>
            </w:rPr>
            <w:fldChar w:fldCharType="begin"/>
          </w:r>
          <w:r w:rsidR="00C4230E" w:rsidRPr="00C759B3">
            <w:rPr>
              <w:rFonts w:ascii="Times New Roman" w:hAnsi="Times New Roman" w:cs="Times New Roman"/>
              <w:sz w:val="24"/>
              <w:szCs w:val="24"/>
            </w:rPr>
            <w:instrText xml:space="preserve"> CITATION Vas12 \l 1033 </w:instrText>
          </w:r>
          <w:r w:rsidR="00C4230E" w:rsidRPr="00C759B3">
            <w:rPr>
              <w:rFonts w:ascii="Times New Roman" w:hAnsi="Times New Roman" w:cs="Times New Roman"/>
              <w:sz w:val="24"/>
              <w:szCs w:val="24"/>
            </w:rPr>
            <w:fldChar w:fldCharType="separate"/>
          </w:r>
          <w:r w:rsidR="00C4230E" w:rsidRPr="00C759B3">
            <w:rPr>
              <w:rFonts w:ascii="Times New Roman" w:hAnsi="Times New Roman" w:cs="Times New Roman"/>
              <w:noProof/>
              <w:sz w:val="24"/>
              <w:szCs w:val="24"/>
            </w:rPr>
            <w:t>(Vasantha, Roy, Lelah, &amp; Brissaud, 2012)</w:t>
          </w:r>
          <w:r w:rsidR="00C4230E" w:rsidRPr="00C759B3">
            <w:rPr>
              <w:rFonts w:ascii="Times New Roman" w:hAnsi="Times New Roman" w:cs="Times New Roman"/>
              <w:sz w:val="24"/>
              <w:szCs w:val="24"/>
            </w:rPr>
            <w:fldChar w:fldCharType="end"/>
          </w:r>
        </w:sdtContent>
      </w:sdt>
      <w:r w:rsidRPr="00C759B3">
        <w:rPr>
          <w:rFonts w:ascii="Times New Roman" w:hAnsi="Times New Roman" w:cs="Times New Roman"/>
          <w:sz w:val="24"/>
          <w:szCs w:val="24"/>
        </w:rPr>
        <w:t xml:space="preserve">. The campaign is thus directed at the building of the personality and the brand of the specified consumer. The provision of services by the provider is under specifications of time, after which renewal or cancellation follows. The aspect necessitates a plan that inspires consumers to commit to a relationship with the providers, through the care of services or subscriptions. Products cannot be renewed or canceled after purchased. Therefore, the campaign insists on the necessity and value of the same to the consumer. </w:t>
      </w:r>
    </w:p>
    <w:p w:rsidR="00877910" w:rsidRPr="00C759B3" w:rsidRDefault="00877910" w:rsidP="00C759B3">
      <w:pPr>
        <w:spacing w:line="480" w:lineRule="auto"/>
        <w:jc w:val="center"/>
        <w:rPr>
          <w:rFonts w:ascii="Times New Roman" w:hAnsi="Times New Roman" w:cs="Times New Roman"/>
          <w:b/>
          <w:sz w:val="24"/>
          <w:szCs w:val="24"/>
        </w:rPr>
      </w:pPr>
      <w:r w:rsidRPr="00C759B3">
        <w:rPr>
          <w:rFonts w:ascii="Times New Roman" w:hAnsi="Times New Roman" w:cs="Times New Roman"/>
          <w:b/>
          <w:sz w:val="24"/>
          <w:szCs w:val="24"/>
        </w:rPr>
        <w:t>Explain your strategy to incorporate ethics into your plan to ensure the building and sustainment of long-term relationships.</w:t>
      </w:r>
    </w:p>
    <w:p w:rsidR="00C759B3" w:rsidRPr="00C759B3" w:rsidRDefault="00877910" w:rsidP="00C759B3">
      <w:pPr>
        <w:spacing w:line="480" w:lineRule="auto"/>
        <w:ind w:firstLine="720"/>
        <w:rPr>
          <w:rFonts w:ascii="Times New Roman" w:hAnsi="Times New Roman" w:cs="Times New Roman"/>
          <w:sz w:val="24"/>
          <w:szCs w:val="24"/>
        </w:rPr>
      </w:pPr>
      <w:r w:rsidRPr="00C759B3">
        <w:rPr>
          <w:rFonts w:ascii="Times New Roman" w:hAnsi="Times New Roman" w:cs="Times New Roman"/>
          <w:sz w:val="24"/>
          <w:szCs w:val="24"/>
        </w:rPr>
        <w:t xml:space="preserve">Incorporating ethics within the campaign will first require the development of the Code of Ethics. The reference stature of the title insists on the necessity of the same, and it is paramount the growth is inclusive and take into account the cultural aspects of the target population. The strategy also incorporates training of the ethical perspectives of the audience by integrating the employees and key staff into the community to immerse and learn from the locals' considerations that favor the audience. It is also critical to recruiting key personnel from the target group. The recruitment and immersing aspects of the strategy will necessitate both groups to be quite aware and adept about the roles of situational advice; act as coaches to train others </w:t>
      </w:r>
      <w:r w:rsidRPr="00C759B3">
        <w:rPr>
          <w:rFonts w:ascii="Times New Roman" w:hAnsi="Times New Roman" w:cs="Times New Roman"/>
          <w:sz w:val="24"/>
          <w:szCs w:val="24"/>
        </w:rPr>
        <w:lastRenderedPageBreak/>
        <w:t>and at the same time learn more on what is necessary to conduct business within the environment</w:t>
      </w:r>
      <w:r w:rsidR="00C4230E" w:rsidRPr="00C759B3">
        <w:rPr>
          <w:rFonts w:ascii="Times New Roman" w:hAnsi="Times New Roman" w:cs="Times New Roman"/>
          <w:sz w:val="24"/>
          <w:szCs w:val="24"/>
        </w:rPr>
        <w:t xml:space="preserve"> </w:t>
      </w:r>
      <w:sdt>
        <w:sdtPr>
          <w:rPr>
            <w:rFonts w:ascii="Times New Roman" w:hAnsi="Times New Roman" w:cs="Times New Roman"/>
            <w:sz w:val="24"/>
            <w:szCs w:val="24"/>
          </w:rPr>
          <w:id w:val="1208092672"/>
          <w:citation/>
        </w:sdtPr>
        <w:sdtContent>
          <w:r w:rsidR="00C4230E" w:rsidRPr="00C759B3">
            <w:rPr>
              <w:rFonts w:ascii="Times New Roman" w:hAnsi="Times New Roman" w:cs="Times New Roman"/>
              <w:sz w:val="24"/>
              <w:szCs w:val="24"/>
            </w:rPr>
            <w:fldChar w:fldCharType="begin"/>
          </w:r>
          <w:r w:rsidR="00C4230E" w:rsidRPr="00C759B3">
            <w:rPr>
              <w:rFonts w:ascii="Times New Roman" w:hAnsi="Times New Roman" w:cs="Times New Roman"/>
              <w:sz w:val="24"/>
              <w:szCs w:val="24"/>
            </w:rPr>
            <w:instrText xml:space="preserve"> CITATION Hil11 \l 1033  </w:instrText>
          </w:r>
          <w:r w:rsidR="00C4230E" w:rsidRPr="00C759B3">
            <w:rPr>
              <w:rFonts w:ascii="Times New Roman" w:hAnsi="Times New Roman" w:cs="Times New Roman"/>
              <w:sz w:val="24"/>
              <w:szCs w:val="24"/>
            </w:rPr>
            <w:fldChar w:fldCharType="separate"/>
          </w:r>
          <w:r w:rsidR="00C4230E" w:rsidRPr="00C759B3">
            <w:rPr>
              <w:rFonts w:ascii="Times New Roman" w:hAnsi="Times New Roman" w:cs="Times New Roman"/>
              <w:noProof/>
              <w:sz w:val="24"/>
              <w:szCs w:val="24"/>
            </w:rPr>
            <w:t>(Hillier, 2011)</w:t>
          </w:r>
          <w:r w:rsidR="00C4230E" w:rsidRPr="00C759B3">
            <w:rPr>
              <w:rFonts w:ascii="Times New Roman" w:hAnsi="Times New Roman" w:cs="Times New Roman"/>
              <w:sz w:val="24"/>
              <w:szCs w:val="24"/>
            </w:rPr>
            <w:fldChar w:fldCharType="end"/>
          </w:r>
        </w:sdtContent>
      </w:sdt>
      <w:r w:rsidRPr="00C759B3">
        <w:rPr>
          <w:rFonts w:ascii="Times New Roman" w:hAnsi="Times New Roman" w:cs="Times New Roman"/>
          <w:sz w:val="24"/>
          <w:szCs w:val="24"/>
        </w:rPr>
        <w:t>. Ethical officers will have a crucial role in shaping the influence the corporation has on the environment. Having learned everything essential for the community and their preferences, they will gear and form all consequent faces of community outreach programs and promotional campaigns.</w:t>
      </w:r>
    </w:p>
    <w:p w:rsidR="00C759B3" w:rsidRPr="00C759B3" w:rsidRDefault="00C759B3" w:rsidP="00C759B3">
      <w:pPr>
        <w:spacing w:line="480" w:lineRule="auto"/>
        <w:rPr>
          <w:rFonts w:ascii="Times New Roman" w:hAnsi="Times New Roman" w:cs="Times New Roman"/>
          <w:sz w:val="24"/>
          <w:szCs w:val="24"/>
        </w:rPr>
      </w:pPr>
      <w:r w:rsidRPr="00C759B3">
        <w:rPr>
          <w:rFonts w:ascii="Times New Roman" w:hAnsi="Times New Roman" w:cs="Times New Roman"/>
          <w:sz w:val="24"/>
          <w:szCs w:val="24"/>
        </w:rPr>
        <w:br w:type="page"/>
      </w:r>
    </w:p>
    <w:sdt>
      <w:sdtPr>
        <w:rPr>
          <w:rFonts w:ascii="Times New Roman" w:hAnsi="Times New Roman" w:cs="Times New Roman"/>
          <w:color w:val="auto"/>
          <w:sz w:val="24"/>
          <w:szCs w:val="24"/>
        </w:rPr>
        <w:id w:val="1208092679"/>
        <w:docPartObj>
          <w:docPartGallery w:val="Bibliographies"/>
          <w:docPartUnique/>
        </w:docPartObj>
      </w:sdtPr>
      <w:sdtEndPr>
        <w:rPr>
          <w:rFonts w:eastAsiaTheme="minorEastAsia"/>
          <w:b w:val="0"/>
          <w:bCs w:val="0"/>
          <w:lang w:bidi="ar-SA"/>
        </w:rPr>
      </w:sdtEndPr>
      <w:sdtContent>
        <w:p w:rsidR="00C759B3" w:rsidRPr="00C759B3" w:rsidRDefault="00C759B3" w:rsidP="00C759B3">
          <w:pPr>
            <w:pStyle w:val="Heading1"/>
            <w:spacing w:line="480" w:lineRule="auto"/>
            <w:jc w:val="center"/>
            <w:rPr>
              <w:rFonts w:ascii="Times New Roman" w:hAnsi="Times New Roman" w:cs="Times New Roman"/>
              <w:color w:val="auto"/>
              <w:sz w:val="24"/>
              <w:szCs w:val="24"/>
            </w:rPr>
          </w:pPr>
          <w:r w:rsidRPr="00C759B3">
            <w:rPr>
              <w:rFonts w:ascii="Times New Roman" w:hAnsi="Times New Roman" w:cs="Times New Roman"/>
              <w:color w:val="auto"/>
              <w:sz w:val="24"/>
              <w:szCs w:val="24"/>
            </w:rPr>
            <w:t>References</w:t>
          </w:r>
        </w:p>
        <w:sdt>
          <w:sdtPr>
            <w:rPr>
              <w:rFonts w:ascii="Times New Roman" w:hAnsi="Times New Roman" w:cs="Times New Roman"/>
              <w:sz w:val="24"/>
              <w:szCs w:val="24"/>
            </w:rPr>
            <w:id w:val="111145805"/>
            <w:bibliography/>
          </w:sdtPr>
          <w:sdtContent>
            <w:p w:rsidR="00C759B3" w:rsidRPr="00C759B3" w:rsidRDefault="00C759B3" w:rsidP="00C759B3">
              <w:pPr>
                <w:pStyle w:val="Bibliography"/>
                <w:spacing w:line="480" w:lineRule="auto"/>
                <w:ind w:left="720" w:hanging="720"/>
                <w:rPr>
                  <w:rFonts w:ascii="Times New Roman" w:hAnsi="Times New Roman" w:cs="Times New Roman"/>
                  <w:noProof/>
                  <w:sz w:val="24"/>
                  <w:szCs w:val="24"/>
                </w:rPr>
              </w:pPr>
              <w:r w:rsidRPr="00C759B3">
                <w:rPr>
                  <w:rFonts w:ascii="Times New Roman" w:hAnsi="Times New Roman" w:cs="Times New Roman"/>
                  <w:sz w:val="24"/>
                  <w:szCs w:val="24"/>
                </w:rPr>
                <w:fldChar w:fldCharType="begin"/>
              </w:r>
              <w:r w:rsidRPr="00C759B3">
                <w:rPr>
                  <w:rFonts w:ascii="Times New Roman" w:hAnsi="Times New Roman" w:cs="Times New Roman"/>
                  <w:sz w:val="24"/>
                  <w:szCs w:val="24"/>
                </w:rPr>
                <w:instrText xml:space="preserve"> BIBLIOGRAPHY </w:instrText>
              </w:r>
              <w:r w:rsidRPr="00C759B3">
                <w:rPr>
                  <w:rFonts w:ascii="Times New Roman" w:hAnsi="Times New Roman" w:cs="Times New Roman"/>
                  <w:sz w:val="24"/>
                  <w:szCs w:val="24"/>
                </w:rPr>
                <w:fldChar w:fldCharType="separate"/>
              </w:r>
              <w:r w:rsidRPr="00C759B3">
                <w:rPr>
                  <w:rFonts w:ascii="Times New Roman" w:hAnsi="Times New Roman" w:cs="Times New Roman"/>
                  <w:noProof/>
                  <w:sz w:val="24"/>
                  <w:szCs w:val="24"/>
                </w:rPr>
                <w:t xml:space="preserve">Hillier, J. (2011). Strategic navigation across multiple planes: Towards a Deleuzean-inspired methodology for strategic spatial planning. </w:t>
              </w:r>
              <w:r w:rsidRPr="00C759B3">
                <w:rPr>
                  <w:rFonts w:ascii="Times New Roman" w:hAnsi="Times New Roman" w:cs="Times New Roman"/>
                  <w:i/>
                  <w:iCs/>
                  <w:noProof/>
                  <w:sz w:val="24"/>
                  <w:szCs w:val="24"/>
                </w:rPr>
                <w:t>Town Planning Review</w:t>
              </w:r>
              <w:r w:rsidRPr="00C759B3">
                <w:rPr>
                  <w:rFonts w:ascii="Times New Roman" w:hAnsi="Times New Roman" w:cs="Times New Roman"/>
                  <w:noProof/>
                  <w:sz w:val="24"/>
                  <w:szCs w:val="24"/>
                </w:rPr>
                <w:t xml:space="preserve"> </w:t>
              </w:r>
              <w:r w:rsidRPr="00C759B3">
                <w:rPr>
                  <w:rFonts w:ascii="Times New Roman" w:hAnsi="Times New Roman" w:cs="Times New Roman"/>
                  <w:i/>
                  <w:iCs/>
                  <w:noProof/>
                  <w:sz w:val="24"/>
                  <w:szCs w:val="24"/>
                </w:rPr>
                <w:t>, 82</w:t>
              </w:r>
              <w:r w:rsidRPr="00C759B3">
                <w:rPr>
                  <w:rFonts w:ascii="Times New Roman" w:hAnsi="Times New Roman" w:cs="Times New Roman"/>
                  <w:noProof/>
                  <w:sz w:val="24"/>
                  <w:szCs w:val="24"/>
                </w:rPr>
                <w:t xml:space="preserve"> (5), 503-527.</w:t>
              </w:r>
            </w:p>
            <w:p w:rsidR="00C759B3" w:rsidRPr="00C759B3" w:rsidRDefault="00C759B3" w:rsidP="00C759B3">
              <w:pPr>
                <w:pStyle w:val="Bibliography"/>
                <w:spacing w:line="480" w:lineRule="auto"/>
                <w:ind w:left="720" w:hanging="720"/>
                <w:rPr>
                  <w:rFonts w:ascii="Times New Roman" w:hAnsi="Times New Roman" w:cs="Times New Roman"/>
                  <w:noProof/>
                  <w:sz w:val="24"/>
                  <w:szCs w:val="24"/>
                </w:rPr>
              </w:pPr>
              <w:r w:rsidRPr="00C759B3">
                <w:rPr>
                  <w:rFonts w:ascii="Times New Roman" w:hAnsi="Times New Roman" w:cs="Times New Roman"/>
                  <w:noProof/>
                  <w:sz w:val="24"/>
                  <w:szCs w:val="24"/>
                </w:rPr>
                <w:t xml:space="preserve">Hines, A. A., Henley, N., Raffin, S., &amp; Caemmerer, B. (2011). The application of marketing principles to a social marketing campaign. . </w:t>
              </w:r>
              <w:r w:rsidRPr="00C759B3">
                <w:rPr>
                  <w:rFonts w:ascii="Times New Roman" w:hAnsi="Times New Roman" w:cs="Times New Roman"/>
                  <w:i/>
                  <w:iCs/>
                  <w:noProof/>
                  <w:sz w:val="24"/>
                  <w:szCs w:val="24"/>
                </w:rPr>
                <w:t>Marketing Intelligence &amp; Planning</w:t>
              </w:r>
              <w:r w:rsidRPr="00C759B3">
                <w:rPr>
                  <w:rFonts w:ascii="Times New Roman" w:hAnsi="Times New Roman" w:cs="Times New Roman"/>
                  <w:noProof/>
                  <w:sz w:val="24"/>
                  <w:szCs w:val="24"/>
                </w:rPr>
                <w:t xml:space="preserve"> .</w:t>
              </w:r>
            </w:p>
            <w:p w:rsidR="00C759B3" w:rsidRPr="00C759B3" w:rsidRDefault="00C759B3" w:rsidP="00C759B3">
              <w:pPr>
                <w:pStyle w:val="Bibliography"/>
                <w:spacing w:line="480" w:lineRule="auto"/>
                <w:ind w:left="720" w:hanging="720"/>
                <w:rPr>
                  <w:rFonts w:ascii="Times New Roman" w:hAnsi="Times New Roman" w:cs="Times New Roman"/>
                  <w:noProof/>
                  <w:sz w:val="24"/>
                  <w:szCs w:val="24"/>
                </w:rPr>
              </w:pPr>
              <w:r w:rsidRPr="00C759B3">
                <w:rPr>
                  <w:rFonts w:ascii="Times New Roman" w:hAnsi="Times New Roman" w:cs="Times New Roman"/>
                  <w:noProof/>
                  <w:sz w:val="24"/>
                  <w:szCs w:val="24"/>
                </w:rPr>
                <w:t xml:space="preserve">Kotov, I., Boutin, N., Tuschen, S., Bakhtin, M., Yakovlev, N., Pogorelskaya, E., et al. (2018, May 17). </w:t>
              </w:r>
              <w:r w:rsidRPr="00C759B3">
                <w:rPr>
                  <w:rFonts w:ascii="Times New Roman" w:hAnsi="Times New Roman" w:cs="Times New Roman"/>
                  <w:i/>
                  <w:iCs/>
                  <w:noProof/>
                  <w:sz w:val="24"/>
                  <w:szCs w:val="24"/>
                </w:rPr>
                <w:t>Russian Consumers and the New Economic Reality</w:t>
              </w:r>
              <w:r w:rsidRPr="00C759B3">
                <w:rPr>
                  <w:rFonts w:ascii="Times New Roman" w:hAnsi="Times New Roman" w:cs="Times New Roman"/>
                  <w:noProof/>
                  <w:sz w:val="24"/>
                  <w:szCs w:val="24"/>
                </w:rPr>
                <w:t>. Retrieved August 30, 2019, from BCG.com: https://www.bcg.com/publications/2018/russian-consumers-new-economic-reality.aspx</w:t>
              </w:r>
            </w:p>
            <w:p w:rsidR="00C759B3" w:rsidRPr="00C759B3" w:rsidRDefault="00C759B3" w:rsidP="00C759B3">
              <w:pPr>
                <w:pStyle w:val="Bibliography"/>
                <w:spacing w:line="480" w:lineRule="auto"/>
                <w:ind w:left="720" w:hanging="720"/>
                <w:rPr>
                  <w:rFonts w:ascii="Times New Roman" w:hAnsi="Times New Roman" w:cs="Times New Roman"/>
                  <w:noProof/>
                  <w:sz w:val="24"/>
                  <w:szCs w:val="24"/>
                </w:rPr>
              </w:pPr>
              <w:r w:rsidRPr="00C759B3">
                <w:rPr>
                  <w:rFonts w:ascii="Times New Roman" w:hAnsi="Times New Roman" w:cs="Times New Roman"/>
                  <w:noProof/>
                  <w:sz w:val="24"/>
                  <w:szCs w:val="24"/>
                </w:rPr>
                <w:t xml:space="preserve">Singh, M. (2012). Marketing mix of 4P’s for competitive advantage. </w:t>
              </w:r>
              <w:r w:rsidRPr="00C759B3">
                <w:rPr>
                  <w:rFonts w:ascii="Times New Roman" w:hAnsi="Times New Roman" w:cs="Times New Roman"/>
                  <w:i/>
                  <w:iCs/>
                  <w:noProof/>
                  <w:sz w:val="24"/>
                  <w:szCs w:val="24"/>
                </w:rPr>
                <w:t>IOSR Journal of Business and Management</w:t>
              </w:r>
              <w:r w:rsidRPr="00C759B3">
                <w:rPr>
                  <w:rFonts w:ascii="Times New Roman" w:hAnsi="Times New Roman" w:cs="Times New Roman"/>
                  <w:noProof/>
                  <w:sz w:val="24"/>
                  <w:szCs w:val="24"/>
                </w:rPr>
                <w:t xml:space="preserve"> </w:t>
              </w:r>
              <w:r w:rsidRPr="00C759B3">
                <w:rPr>
                  <w:rFonts w:ascii="Times New Roman" w:hAnsi="Times New Roman" w:cs="Times New Roman"/>
                  <w:i/>
                  <w:iCs/>
                  <w:noProof/>
                  <w:sz w:val="24"/>
                  <w:szCs w:val="24"/>
                </w:rPr>
                <w:t>, 6</w:t>
              </w:r>
              <w:r w:rsidRPr="00C759B3">
                <w:rPr>
                  <w:rFonts w:ascii="Times New Roman" w:hAnsi="Times New Roman" w:cs="Times New Roman"/>
                  <w:noProof/>
                  <w:sz w:val="24"/>
                  <w:szCs w:val="24"/>
                </w:rPr>
                <w:t>, 40-45.</w:t>
              </w:r>
            </w:p>
            <w:p w:rsidR="00C759B3" w:rsidRPr="00C759B3" w:rsidRDefault="00C759B3" w:rsidP="00C759B3">
              <w:pPr>
                <w:pStyle w:val="Bibliography"/>
                <w:spacing w:line="480" w:lineRule="auto"/>
                <w:ind w:left="720" w:hanging="720"/>
                <w:rPr>
                  <w:rFonts w:ascii="Times New Roman" w:hAnsi="Times New Roman" w:cs="Times New Roman"/>
                  <w:noProof/>
                  <w:sz w:val="24"/>
                  <w:szCs w:val="24"/>
                </w:rPr>
              </w:pPr>
              <w:r w:rsidRPr="00C759B3">
                <w:rPr>
                  <w:rFonts w:ascii="Times New Roman" w:hAnsi="Times New Roman" w:cs="Times New Roman"/>
                  <w:noProof/>
                  <w:sz w:val="24"/>
                  <w:szCs w:val="24"/>
                </w:rPr>
                <w:t xml:space="preserve">Vasantha, G. V., Roy, R., Lelah, A., &amp; Brissaud, D. (2012). A review of product–service systems design methodologies. </w:t>
              </w:r>
              <w:r w:rsidRPr="00C759B3">
                <w:rPr>
                  <w:rFonts w:ascii="Times New Roman" w:hAnsi="Times New Roman" w:cs="Times New Roman"/>
                  <w:i/>
                  <w:iCs/>
                  <w:noProof/>
                  <w:sz w:val="24"/>
                  <w:szCs w:val="24"/>
                </w:rPr>
                <w:t>Journal of Engineering Design</w:t>
              </w:r>
              <w:r w:rsidRPr="00C759B3">
                <w:rPr>
                  <w:rFonts w:ascii="Times New Roman" w:hAnsi="Times New Roman" w:cs="Times New Roman"/>
                  <w:noProof/>
                  <w:sz w:val="24"/>
                  <w:szCs w:val="24"/>
                </w:rPr>
                <w:t xml:space="preserve"> </w:t>
              </w:r>
              <w:r w:rsidRPr="00C759B3">
                <w:rPr>
                  <w:rFonts w:ascii="Times New Roman" w:hAnsi="Times New Roman" w:cs="Times New Roman"/>
                  <w:i/>
                  <w:iCs/>
                  <w:noProof/>
                  <w:sz w:val="24"/>
                  <w:szCs w:val="24"/>
                </w:rPr>
                <w:t>, 9</w:t>
              </w:r>
              <w:r w:rsidRPr="00C759B3">
                <w:rPr>
                  <w:rFonts w:ascii="Times New Roman" w:hAnsi="Times New Roman" w:cs="Times New Roman"/>
                  <w:noProof/>
                  <w:sz w:val="24"/>
                  <w:szCs w:val="24"/>
                </w:rPr>
                <w:t>, 635-659.</w:t>
              </w:r>
            </w:p>
            <w:p w:rsidR="00C759B3" w:rsidRPr="00C759B3" w:rsidRDefault="00C759B3" w:rsidP="00C759B3">
              <w:pPr>
                <w:spacing w:line="480" w:lineRule="auto"/>
                <w:ind w:left="720" w:hanging="720"/>
                <w:rPr>
                  <w:rFonts w:ascii="Times New Roman" w:hAnsi="Times New Roman" w:cs="Times New Roman"/>
                  <w:sz w:val="24"/>
                  <w:szCs w:val="24"/>
                </w:rPr>
              </w:pPr>
              <w:r w:rsidRPr="00C759B3">
                <w:rPr>
                  <w:rFonts w:ascii="Times New Roman" w:hAnsi="Times New Roman" w:cs="Times New Roman"/>
                  <w:sz w:val="24"/>
                  <w:szCs w:val="24"/>
                </w:rPr>
                <w:fldChar w:fldCharType="end"/>
              </w:r>
            </w:p>
          </w:sdtContent>
        </w:sdt>
      </w:sdtContent>
    </w:sdt>
    <w:p w:rsidR="009B6A2F" w:rsidRPr="00C759B3" w:rsidRDefault="009B6A2F" w:rsidP="00C759B3">
      <w:pPr>
        <w:spacing w:line="480" w:lineRule="auto"/>
        <w:ind w:firstLine="720"/>
        <w:rPr>
          <w:rFonts w:ascii="Times New Roman" w:hAnsi="Times New Roman" w:cs="Times New Roman"/>
          <w:sz w:val="24"/>
          <w:szCs w:val="24"/>
        </w:rPr>
      </w:pPr>
    </w:p>
    <w:sectPr w:rsidR="009B6A2F" w:rsidRPr="00C759B3" w:rsidSect="00C759B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D4A8C" w:rsidRDefault="00AD4A8C" w:rsidP="00C759B3">
      <w:pPr>
        <w:spacing w:after="0" w:line="240" w:lineRule="auto"/>
      </w:pPr>
      <w:r>
        <w:separator/>
      </w:r>
    </w:p>
  </w:endnote>
  <w:endnote w:type="continuationSeparator" w:id="1">
    <w:p w:rsidR="00AD4A8C" w:rsidRDefault="00AD4A8C" w:rsidP="00C759B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D4A8C" w:rsidRDefault="00AD4A8C" w:rsidP="00C759B3">
      <w:pPr>
        <w:spacing w:after="0" w:line="240" w:lineRule="auto"/>
      </w:pPr>
      <w:r>
        <w:separator/>
      </w:r>
    </w:p>
  </w:footnote>
  <w:footnote w:type="continuationSeparator" w:id="1">
    <w:p w:rsidR="00AD4A8C" w:rsidRDefault="00AD4A8C" w:rsidP="00C759B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9B3" w:rsidRPr="00C759B3" w:rsidRDefault="00C759B3">
    <w:pPr>
      <w:pStyle w:val="Header"/>
      <w:jc w:val="right"/>
      <w:rPr>
        <w:rFonts w:ascii="Times New Roman" w:hAnsi="Times New Roman" w:cs="Times New Roman"/>
        <w:sz w:val="24"/>
      </w:rPr>
    </w:pPr>
    <w:r w:rsidRPr="00C759B3">
      <w:rPr>
        <w:rFonts w:ascii="Times New Roman" w:hAnsi="Times New Roman" w:cs="Times New Roman"/>
        <w:sz w:val="24"/>
      </w:rPr>
      <w:t>MARKETING COMMUNICATION STRATEGY</w:t>
    </w:r>
    <w:r w:rsidRPr="00C759B3">
      <w:rPr>
        <w:rFonts w:ascii="Times New Roman" w:hAnsi="Times New Roman" w:cs="Times New Roman"/>
        <w:sz w:val="24"/>
      </w:rPr>
      <w:tab/>
    </w:r>
    <w:sdt>
      <w:sdtPr>
        <w:rPr>
          <w:rFonts w:ascii="Times New Roman" w:hAnsi="Times New Roman" w:cs="Times New Roman"/>
          <w:sz w:val="24"/>
        </w:rPr>
        <w:id w:val="1208092684"/>
        <w:docPartObj>
          <w:docPartGallery w:val="Page Numbers (Top of Page)"/>
          <w:docPartUnique/>
        </w:docPartObj>
      </w:sdtPr>
      <w:sdtContent>
        <w:r w:rsidRPr="00C759B3">
          <w:rPr>
            <w:rFonts w:ascii="Times New Roman" w:hAnsi="Times New Roman" w:cs="Times New Roman"/>
            <w:sz w:val="24"/>
          </w:rPr>
          <w:fldChar w:fldCharType="begin"/>
        </w:r>
        <w:r w:rsidRPr="00C759B3">
          <w:rPr>
            <w:rFonts w:ascii="Times New Roman" w:hAnsi="Times New Roman" w:cs="Times New Roman"/>
            <w:sz w:val="24"/>
          </w:rPr>
          <w:instrText xml:space="preserve"> PAGE   \* MERGEFORMAT </w:instrText>
        </w:r>
        <w:r w:rsidRPr="00C759B3">
          <w:rPr>
            <w:rFonts w:ascii="Times New Roman" w:hAnsi="Times New Roman" w:cs="Times New Roman"/>
            <w:sz w:val="24"/>
          </w:rPr>
          <w:fldChar w:fldCharType="separate"/>
        </w:r>
        <w:r>
          <w:rPr>
            <w:rFonts w:ascii="Times New Roman" w:hAnsi="Times New Roman" w:cs="Times New Roman"/>
            <w:noProof/>
            <w:sz w:val="24"/>
          </w:rPr>
          <w:t>7</w:t>
        </w:r>
        <w:r w:rsidRPr="00C759B3">
          <w:rPr>
            <w:rFonts w:ascii="Times New Roman" w:hAnsi="Times New Roman" w:cs="Times New Roman"/>
            <w:sz w:val="24"/>
          </w:rPr>
          <w:fldChar w:fldCharType="end"/>
        </w:r>
      </w:sdtContent>
    </w:sdt>
  </w:p>
  <w:p w:rsidR="00C759B3" w:rsidRPr="00C759B3" w:rsidRDefault="00C759B3">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9B3" w:rsidRPr="00C759B3" w:rsidRDefault="00C759B3">
    <w:pPr>
      <w:pStyle w:val="Header"/>
      <w:jc w:val="right"/>
      <w:rPr>
        <w:rFonts w:ascii="Times New Roman" w:hAnsi="Times New Roman" w:cs="Times New Roman"/>
        <w:sz w:val="24"/>
      </w:rPr>
    </w:pPr>
    <w:r w:rsidRPr="00C759B3">
      <w:rPr>
        <w:rFonts w:ascii="Times New Roman" w:hAnsi="Times New Roman" w:cs="Times New Roman"/>
        <w:sz w:val="24"/>
      </w:rPr>
      <w:t xml:space="preserve">Running Head: MARKETING COMMUNICATION STRATEGY </w:t>
    </w:r>
    <w:r w:rsidRPr="00C759B3">
      <w:rPr>
        <w:rFonts w:ascii="Times New Roman" w:hAnsi="Times New Roman" w:cs="Times New Roman"/>
        <w:sz w:val="24"/>
      </w:rPr>
      <w:tab/>
    </w:r>
    <w:sdt>
      <w:sdtPr>
        <w:rPr>
          <w:rFonts w:ascii="Times New Roman" w:hAnsi="Times New Roman" w:cs="Times New Roman"/>
          <w:sz w:val="24"/>
        </w:rPr>
        <w:id w:val="1208092717"/>
        <w:docPartObj>
          <w:docPartGallery w:val="Page Numbers (Top of Page)"/>
          <w:docPartUnique/>
        </w:docPartObj>
      </w:sdtPr>
      <w:sdtContent>
        <w:r w:rsidRPr="00C759B3">
          <w:rPr>
            <w:rFonts w:ascii="Times New Roman" w:hAnsi="Times New Roman" w:cs="Times New Roman"/>
            <w:sz w:val="24"/>
          </w:rPr>
          <w:fldChar w:fldCharType="begin"/>
        </w:r>
        <w:r w:rsidRPr="00C759B3">
          <w:rPr>
            <w:rFonts w:ascii="Times New Roman" w:hAnsi="Times New Roman" w:cs="Times New Roman"/>
            <w:sz w:val="24"/>
          </w:rPr>
          <w:instrText xml:space="preserve"> PAGE   \* MERGEFORMAT </w:instrText>
        </w:r>
        <w:r w:rsidRPr="00C759B3">
          <w:rPr>
            <w:rFonts w:ascii="Times New Roman" w:hAnsi="Times New Roman" w:cs="Times New Roman"/>
            <w:sz w:val="24"/>
          </w:rPr>
          <w:fldChar w:fldCharType="separate"/>
        </w:r>
        <w:r>
          <w:rPr>
            <w:rFonts w:ascii="Times New Roman" w:hAnsi="Times New Roman" w:cs="Times New Roman"/>
            <w:noProof/>
            <w:sz w:val="24"/>
          </w:rPr>
          <w:t>1</w:t>
        </w:r>
        <w:r w:rsidRPr="00C759B3">
          <w:rPr>
            <w:rFonts w:ascii="Times New Roman" w:hAnsi="Times New Roman" w:cs="Times New Roman"/>
            <w:sz w:val="24"/>
          </w:rPr>
          <w:fldChar w:fldCharType="end"/>
        </w:r>
      </w:sdtContent>
    </w:sdt>
  </w:p>
  <w:p w:rsidR="00C759B3" w:rsidRPr="00C759B3" w:rsidRDefault="00C759B3">
    <w:pPr>
      <w:pStyle w:val="Header"/>
      <w:rPr>
        <w:rFonts w:ascii="Times New Roman" w:hAnsi="Times New Roman" w:cs="Times New Roman"/>
        <w:sz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922FB5"/>
    <w:multiLevelType w:val="hybridMultilevel"/>
    <w:tmpl w:val="14986F88"/>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680A1039"/>
    <w:multiLevelType w:val="hybridMultilevel"/>
    <w:tmpl w:val="1D42E2A4"/>
    <w:lvl w:ilvl="0" w:tplc="5A921E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7762D0C"/>
    <w:multiLevelType w:val="hybridMultilevel"/>
    <w:tmpl w:val="9552D12C"/>
    <w:lvl w:ilvl="0" w:tplc="0A92D00E">
      <w:start w:val="1"/>
      <w:numFmt w:val="lowerLetter"/>
      <w:lvlText w:val="%1."/>
      <w:lvlJc w:val="left"/>
      <w:pPr>
        <w:ind w:left="720" w:hanging="360"/>
      </w:pPr>
      <w:rPr>
        <w:rFonts w:hint="default"/>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AFF63B7"/>
    <w:multiLevelType w:val="hybridMultilevel"/>
    <w:tmpl w:val="C2C0F5F4"/>
    <w:lvl w:ilvl="0" w:tplc="6320427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900D02"/>
    <w:rsid w:val="00051665"/>
    <w:rsid w:val="00075F22"/>
    <w:rsid w:val="00105F47"/>
    <w:rsid w:val="001741AA"/>
    <w:rsid w:val="001D6E8B"/>
    <w:rsid w:val="003530EE"/>
    <w:rsid w:val="003855FC"/>
    <w:rsid w:val="003D655A"/>
    <w:rsid w:val="00527CF4"/>
    <w:rsid w:val="00572097"/>
    <w:rsid w:val="005731AC"/>
    <w:rsid w:val="005D35F9"/>
    <w:rsid w:val="00743F94"/>
    <w:rsid w:val="00765CF8"/>
    <w:rsid w:val="007C6D30"/>
    <w:rsid w:val="00816282"/>
    <w:rsid w:val="00837324"/>
    <w:rsid w:val="00877910"/>
    <w:rsid w:val="00900D02"/>
    <w:rsid w:val="009B6A2F"/>
    <w:rsid w:val="009F03B0"/>
    <w:rsid w:val="00AD4A8C"/>
    <w:rsid w:val="00AD4B39"/>
    <w:rsid w:val="00BD33B6"/>
    <w:rsid w:val="00C4230E"/>
    <w:rsid w:val="00C759B3"/>
    <w:rsid w:val="00CA5118"/>
    <w:rsid w:val="00CE1135"/>
    <w:rsid w:val="00D50C40"/>
    <w:rsid w:val="00DA4F2F"/>
    <w:rsid w:val="00DA6417"/>
    <w:rsid w:val="00E30C2C"/>
    <w:rsid w:val="00E455DA"/>
    <w:rsid w:val="00E65E88"/>
    <w:rsid w:val="00FA5ADC"/>
    <w:rsid w:val="00FE48D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759B3"/>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55DA"/>
    <w:pPr>
      <w:ind w:left="720"/>
      <w:contextualSpacing/>
    </w:pPr>
  </w:style>
  <w:style w:type="paragraph" w:styleId="BalloonText">
    <w:name w:val="Balloon Text"/>
    <w:basedOn w:val="Normal"/>
    <w:link w:val="BalloonTextChar"/>
    <w:uiPriority w:val="99"/>
    <w:semiHidden/>
    <w:unhideWhenUsed/>
    <w:rsid w:val="00C4230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4230E"/>
    <w:rPr>
      <w:rFonts w:ascii="Tahoma" w:hAnsi="Tahoma" w:cs="Tahoma"/>
      <w:sz w:val="16"/>
      <w:szCs w:val="16"/>
    </w:rPr>
  </w:style>
  <w:style w:type="character" w:customStyle="1" w:styleId="Heading1Char">
    <w:name w:val="Heading 1 Char"/>
    <w:basedOn w:val="DefaultParagraphFont"/>
    <w:link w:val="Heading1"/>
    <w:uiPriority w:val="9"/>
    <w:rsid w:val="00C759B3"/>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C759B3"/>
  </w:style>
  <w:style w:type="paragraph" w:styleId="Header">
    <w:name w:val="header"/>
    <w:basedOn w:val="Normal"/>
    <w:link w:val="HeaderChar"/>
    <w:uiPriority w:val="99"/>
    <w:unhideWhenUsed/>
    <w:rsid w:val="00C759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59B3"/>
  </w:style>
  <w:style w:type="paragraph" w:styleId="Footer">
    <w:name w:val="footer"/>
    <w:basedOn w:val="Normal"/>
    <w:link w:val="FooterChar"/>
    <w:uiPriority w:val="99"/>
    <w:semiHidden/>
    <w:unhideWhenUsed/>
    <w:rsid w:val="00C759B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759B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Hil11</b:Tag>
    <b:SourceType>JournalArticle</b:SourceType>
    <b:Guid>{9028443E-9978-48AD-9733-CCB2CFB807D4}</b:Guid>
    <b:LCID>0</b:LCID>
    <b:Author>
      <b:Author>
        <b:NameList>
          <b:Person>
            <b:Last>Hillier</b:Last>
            <b:First>Jean</b:First>
          </b:Person>
        </b:NameList>
      </b:Author>
    </b:Author>
    <b:Title>Strategic navigation across multiple planes: Towards a Deleuzean-inspired methodology for strategic spatial planning.</b:Title>
    <b:JournalName>Town Planning Review</b:JournalName>
    <b:Year>2011</b:Year>
    <b:Pages>503-527</b:Pages>
    <b:Volume>82</b:Volume>
    <b:Issue>5</b:Issue>
    <b:RefOrder>5</b:RefOrder>
  </b:Source>
  <b:Source>
    <b:Tag>Vas12</b:Tag>
    <b:SourceType>JournalArticle</b:SourceType>
    <b:Guid>{7E06A7BA-8687-4DEA-B94C-32EAFC9DEA9E}</b:Guid>
    <b:LCID>0</b:LCID>
    <b:Author>
      <b:Author>
        <b:NameList>
          <b:Person>
            <b:Last>Vasantha</b:Last>
            <b:First>Gokula</b:First>
            <b:Middle>Vijaykumar Annamalai</b:Middle>
          </b:Person>
          <b:Person>
            <b:Last>Roy</b:Last>
            <b:First>Rajkumar</b:First>
          </b:Person>
          <b:Person>
            <b:Last>Lelah</b:Last>
            <b:First>Alan</b:First>
          </b:Person>
          <b:Person>
            <b:Last>Brissaud</b:Last>
            <b:First>Daniel</b:First>
          </b:Person>
        </b:NameList>
      </b:Author>
    </b:Author>
    <b:Title>A review of product–service systems design methodologies.</b:Title>
    <b:JournalName>Journal of Engineering Design</b:JournalName>
    <b:Year>2012</b:Year>
    <b:Pages>635-659</b:Pages>
    <b:Publisher>23</b:Publisher>
    <b:Volume>9</b:Volume>
    <b:RefOrder>4</b:RefOrder>
  </b:Source>
  <b:Source>
    <b:Tag>Hin11</b:Tag>
    <b:SourceType>JournalArticle</b:SourceType>
    <b:Guid>{78F3A4B4-C164-444D-880E-E2A25901BCDA}</b:Guid>
    <b:LCID>0</b:LCID>
    <b:Author>
      <b:Author>
        <b:NameList>
          <b:Person>
            <b:Last>Hines</b:Last>
            <b:First>Anthony</b:First>
            <b:Middle>A.</b:Middle>
          </b:Person>
          <b:Person>
            <b:Last>Henley</b:Last>
            <b:First>Nadine</b:First>
          </b:Person>
          <b:Person>
            <b:Last>Raffin</b:Last>
            <b:First>Sandrine</b:First>
          </b:Person>
          <b:Person>
            <b:Last>Caemmerer</b:Last>
            <b:First>Barbara</b:First>
          </b:Person>
        </b:NameList>
      </b:Author>
    </b:Author>
    <b:Title>The application of marketing principles to a social marketing campaign. </b:Title>
    <b:JournalName>Marketing Intelligence &amp; Planning</b:JournalName>
    <b:Year>2011</b:Year>
    <b:RefOrder>3</b:RefOrder>
  </b:Source>
  <b:Source>
    <b:Tag>Sin12</b:Tag>
    <b:SourceType>JournalArticle</b:SourceType>
    <b:Guid>{AD30FB6E-5415-4F62-8B47-EA92C96853B6}</b:Guid>
    <b:LCID>0</b:LCID>
    <b:Author>
      <b:Author>
        <b:NameList>
          <b:Person>
            <b:Last>Singh</b:Last>
            <b:First>Meera</b:First>
          </b:Person>
        </b:NameList>
      </b:Author>
    </b:Author>
    <b:Title>Marketing mix of 4P’s for competitive advantage.</b:Title>
    <b:JournalName>IOSR Journal of Business and Management</b:JournalName>
    <b:Year>2012</b:Year>
    <b:Pages>40-45</b:Pages>
    <b:Publisher>3</b:Publisher>
    <b:Volume>6</b:Volume>
    <b:RefOrder>2</b:RefOrder>
  </b:Source>
  <b:Source>
    <b:Tag>Kot18</b:Tag>
    <b:SourceType>InternetSite</b:SourceType>
    <b:Guid>{599C0BAF-CEAF-4996-AF43-2EEE9834A640}</b:Guid>
    <b:LCID>0</b:LCID>
    <b:Author>
      <b:Author>
        <b:NameList>
          <b:Person>
            <b:Last>Kotov</b:Last>
            <b:First>Ivan</b:First>
          </b:Person>
          <b:Person>
            <b:Last>Boutin</b:Last>
            <b:First>Nicolas</b:First>
          </b:Person>
          <b:Person>
            <b:Last>Tuschen</b:Last>
            <b:First>Stefan</b:First>
          </b:Person>
          <b:Person>
            <b:Last>Bakhtin</b:Last>
            <b:First>Maxim</b:First>
          </b:Person>
          <b:Person>
            <b:Last>Yakovlev</b:Last>
            <b:First>Nikolay</b:First>
          </b:Person>
          <b:Person>
            <b:Last>Pogorelskaya</b:Last>
            <b:First>Elena</b:First>
          </b:Person>
          <b:Person>
            <b:Last>Ivanova</b:Last>
            <b:First>Alexandra</b:First>
          </b:Person>
        </b:NameList>
      </b:Author>
    </b:Author>
    <b:Title>Russian Consumers and the New Economic Reality</b:Title>
    <b:Year>2018</b:Year>
    <b:InternetSiteTitle>BCG.com</b:InternetSiteTitle>
    <b:Month>May</b:Month>
    <b:Day>17</b:Day>
    <b:YearAccessed>2019</b:YearAccessed>
    <b:MonthAccessed>August</b:MonthAccessed>
    <b:DayAccessed>30</b:DayAccessed>
    <b:URL>https://www.bcg.com/publications/2018/russian-consumers-new-economic-reality.aspx</b:URL>
    <b:RefOrder>1</b:RefOrder>
  </b:Source>
</b:Sources>
</file>

<file path=customXml/itemProps1.xml><?xml version="1.0" encoding="utf-8"?>
<ds:datastoreItem xmlns:ds="http://schemas.openxmlformats.org/officeDocument/2006/customXml" ds:itemID="{E27B1AD7-29B7-451E-9EE2-FBDF7E7202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772</TotalTime>
  <Pages>9</Pages>
  <Words>1961</Words>
  <Characters>11184</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18</cp:revision>
  <dcterms:created xsi:type="dcterms:W3CDTF">2019-08-30T08:05:00Z</dcterms:created>
  <dcterms:modified xsi:type="dcterms:W3CDTF">2019-08-30T21:03:00Z</dcterms:modified>
</cp:coreProperties>
</file>